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491"/>
      </w:tblGrid>
      <w:tr w:rsidR="0068764A" w14:paraId="0AC0B6E2" w14:textId="77777777" w:rsidTr="0068764A">
        <w:tc>
          <w:tcPr>
            <w:tcW w:w="4531" w:type="dxa"/>
          </w:tcPr>
          <w:p w14:paraId="48470C5B" w14:textId="4E8CFA89" w:rsidR="0068764A" w:rsidRDefault="0068764A">
            <w:r>
              <w:rPr>
                <w:noProof/>
              </w:rPr>
              <w:drawing>
                <wp:inline distT="0" distB="0" distL="0" distR="0" wp14:anchorId="11742992" wp14:editId="0435121D">
                  <wp:extent cx="2771775" cy="1847850"/>
                  <wp:effectExtent l="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3352" cy="1848901"/>
                          </a:xfrm>
                          <a:prstGeom prst="rect">
                            <a:avLst/>
                          </a:prstGeom>
                          <a:noFill/>
                          <a:ln>
                            <a:noFill/>
                          </a:ln>
                        </pic:spPr>
                      </pic:pic>
                    </a:graphicData>
                  </a:graphic>
                </wp:inline>
              </w:drawing>
            </w:r>
          </w:p>
        </w:tc>
        <w:tc>
          <w:tcPr>
            <w:tcW w:w="4531" w:type="dxa"/>
          </w:tcPr>
          <w:p w14:paraId="40BCF2E8" w14:textId="77777777" w:rsidR="0068764A" w:rsidRDefault="0068764A" w:rsidP="001F3A94">
            <w:pPr>
              <w:jc w:val="right"/>
            </w:pPr>
            <w:r w:rsidRPr="0068764A">
              <w:drawing>
                <wp:inline distT="0" distB="0" distL="0" distR="0" wp14:anchorId="72744D3D" wp14:editId="6A16E420">
                  <wp:extent cx="2720340" cy="1428750"/>
                  <wp:effectExtent l="0" t="0" r="3810" b="0"/>
                  <wp:docPr id="42" name="Google Shape;42;p16"/>
                  <wp:cNvGraphicFramePr/>
                  <a:graphic xmlns:a="http://schemas.openxmlformats.org/drawingml/2006/main">
                    <a:graphicData uri="http://schemas.openxmlformats.org/drawingml/2006/picture">
                      <pic:pic xmlns:pic="http://schemas.openxmlformats.org/drawingml/2006/picture">
                        <pic:nvPicPr>
                          <pic:cNvPr id="42" name="Google Shape;42;p16"/>
                          <pic:cNvPicPr preferRelativeResize="0"/>
                        </pic:nvPicPr>
                        <pic:blipFill>
                          <a:blip r:embed="rId6">
                            <a:alphaModFix/>
                          </a:blip>
                          <a:stretch>
                            <a:fillRect/>
                          </a:stretch>
                        </pic:blipFill>
                        <pic:spPr>
                          <a:xfrm>
                            <a:off x="0" y="0"/>
                            <a:ext cx="2720567" cy="1428869"/>
                          </a:xfrm>
                          <a:prstGeom prst="rect">
                            <a:avLst/>
                          </a:prstGeom>
                          <a:noFill/>
                          <a:ln w="28575" cap="flat" cmpd="sng">
                            <a:noFill/>
                            <a:prstDash val="solid"/>
                            <a:round/>
                            <a:headEnd type="none" w="sm" len="sm"/>
                            <a:tailEnd type="none" w="sm" len="sm"/>
                          </a:ln>
                        </pic:spPr>
                      </pic:pic>
                    </a:graphicData>
                  </a:graphic>
                </wp:inline>
              </w:drawing>
            </w:r>
          </w:p>
          <w:p w14:paraId="68B1DEE4" w14:textId="71038C2C" w:rsidR="001F3A94" w:rsidRDefault="001F3A94" w:rsidP="001F3A94">
            <w:pPr>
              <w:jc w:val="center"/>
            </w:pPr>
            <w:r>
              <w:rPr>
                <w:noProof/>
              </w:rPr>
              <w:drawing>
                <wp:inline distT="0" distB="0" distL="0" distR="0" wp14:anchorId="302562CE" wp14:editId="254C4531">
                  <wp:extent cx="473277" cy="510338"/>
                  <wp:effectExtent l="0" t="0" r="3175" b="4445"/>
                  <wp:docPr id="1" name="Image 1" descr="Une image contenant croquis, dessin, clipar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roquis, dessin, clipart, illustration&#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818" cy="517391"/>
                          </a:xfrm>
                          <a:prstGeom prst="rect">
                            <a:avLst/>
                          </a:prstGeom>
                          <a:noFill/>
                          <a:ln>
                            <a:noFill/>
                          </a:ln>
                        </pic:spPr>
                      </pic:pic>
                    </a:graphicData>
                  </a:graphic>
                </wp:inline>
              </w:drawing>
            </w:r>
          </w:p>
        </w:tc>
      </w:tr>
    </w:tbl>
    <w:p w14:paraId="4C7BE698" w14:textId="77777777" w:rsidR="00CA0B78" w:rsidRPr="0068764A" w:rsidRDefault="00CA0B78" w:rsidP="0068764A">
      <w:pPr>
        <w:spacing w:after="0"/>
        <w:rPr>
          <w:rFonts w:ascii="Arial" w:hAnsi="Arial" w:cs="Arial"/>
          <w:sz w:val="24"/>
          <w:szCs w:val="24"/>
        </w:rPr>
      </w:pPr>
    </w:p>
    <w:p w14:paraId="105BFC20" w14:textId="4014845D" w:rsidR="0068764A" w:rsidRDefault="0068764A" w:rsidP="0068764A">
      <w:pPr>
        <w:spacing w:after="0"/>
        <w:jc w:val="center"/>
        <w:rPr>
          <w:rFonts w:ascii="Arial" w:hAnsi="Arial" w:cs="Arial"/>
          <w:b/>
          <w:bCs/>
          <w:sz w:val="32"/>
          <w:szCs w:val="32"/>
        </w:rPr>
      </w:pPr>
      <w:r w:rsidRPr="0068764A">
        <w:rPr>
          <w:rFonts w:ascii="Arial" w:hAnsi="Arial" w:cs="Arial"/>
          <w:b/>
          <w:bCs/>
          <w:sz w:val="32"/>
          <w:szCs w:val="32"/>
        </w:rPr>
        <w:t>Paroisse Notre Dame des Neiges</w:t>
      </w:r>
    </w:p>
    <w:p w14:paraId="482E1737" w14:textId="2A245895" w:rsidR="0068764A" w:rsidRPr="0068764A" w:rsidRDefault="0068764A" w:rsidP="0068764A">
      <w:pPr>
        <w:spacing w:after="0"/>
        <w:jc w:val="center"/>
        <w:rPr>
          <w:rFonts w:ascii="Arial" w:hAnsi="Arial" w:cs="Arial"/>
          <w:b/>
          <w:bCs/>
          <w:sz w:val="32"/>
          <w:szCs w:val="32"/>
        </w:rPr>
      </w:pPr>
      <w:r>
        <w:rPr>
          <w:rFonts w:ascii="Arial" w:hAnsi="Arial" w:cs="Arial"/>
          <w:b/>
          <w:bCs/>
          <w:sz w:val="32"/>
          <w:szCs w:val="32"/>
        </w:rPr>
        <w:t>Parcours « Des arbres qui marchent »</w:t>
      </w:r>
    </w:p>
    <w:p w14:paraId="21040080" w14:textId="77777777" w:rsidR="0068764A" w:rsidRDefault="0068764A" w:rsidP="0068764A">
      <w:pPr>
        <w:spacing w:after="0"/>
        <w:rPr>
          <w:rFonts w:ascii="Arial" w:hAnsi="Arial" w:cs="Arial"/>
          <w:sz w:val="24"/>
          <w:szCs w:val="24"/>
        </w:rPr>
      </w:pPr>
    </w:p>
    <w:p w14:paraId="1408F031" w14:textId="77777777" w:rsidR="00802681" w:rsidRDefault="0068764A" w:rsidP="00802681">
      <w:pPr>
        <w:spacing w:after="0"/>
        <w:jc w:val="both"/>
        <w:rPr>
          <w:rFonts w:ascii="Arial" w:hAnsi="Arial" w:cs="Arial"/>
          <w:sz w:val="24"/>
          <w:szCs w:val="24"/>
        </w:rPr>
      </w:pPr>
      <w:r>
        <w:rPr>
          <w:rFonts w:ascii="Arial" w:hAnsi="Arial" w:cs="Arial"/>
          <w:sz w:val="24"/>
          <w:szCs w:val="24"/>
        </w:rPr>
        <w:t xml:space="preserve">La paroisse Notre Dame des Neiges (Marseille 8°) a suivi un parcours </w:t>
      </w:r>
      <w:r w:rsidR="00802681">
        <w:rPr>
          <w:rFonts w:ascii="Arial" w:hAnsi="Arial" w:cs="Arial"/>
          <w:sz w:val="24"/>
          <w:szCs w:val="24"/>
        </w:rPr>
        <w:t>de discernement en visionnant l</w:t>
      </w:r>
      <w:r w:rsidRPr="0068764A">
        <w:rPr>
          <w:rFonts w:ascii="Arial" w:hAnsi="Arial" w:cs="Arial"/>
          <w:sz w:val="24"/>
          <w:szCs w:val="24"/>
        </w:rPr>
        <w:t xml:space="preserve">es épisodes </w:t>
      </w:r>
      <w:r w:rsidR="00802681">
        <w:rPr>
          <w:rFonts w:ascii="Arial" w:hAnsi="Arial" w:cs="Arial"/>
          <w:sz w:val="24"/>
          <w:szCs w:val="24"/>
        </w:rPr>
        <w:t xml:space="preserve">« Des arbres qui marchent » </w:t>
      </w:r>
      <w:r w:rsidRPr="0068764A">
        <w:rPr>
          <w:rFonts w:ascii="Arial" w:hAnsi="Arial" w:cs="Arial"/>
          <w:sz w:val="24"/>
          <w:szCs w:val="24"/>
        </w:rPr>
        <w:t>du Mouvement pour un Monde Meilleur</w:t>
      </w:r>
      <w:r w:rsidR="00802681">
        <w:rPr>
          <w:rFonts w:ascii="Arial" w:hAnsi="Arial" w:cs="Arial"/>
          <w:sz w:val="24"/>
          <w:szCs w:val="24"/>
        </w:rPr>
        <w:t xml:space="preserve">. </w:t>
      </w:r>
    </w:p>
    <w:p w14:paraId="43D0C898" w14:textId="40D05EBE" w:rsidR="001F3A94" w:rsidRPr="0068764A" w:rsidRDefault="001F3A94" w:rsidP="001F3A94">
      <w:pPr>
        <w:spacing w:after="0"/>
        <w:jc w:val="both"/>
        <w:rPr>
          <w:rFonts w:ascii="Arial" w:hAnsi="Arial" w:cs="Arial"/>
          <w:sz w:val="24"/>
          <w:szCs w:val="24"/>
        </w:rPr>
      </w:pPr>
      <w:r>
        <w:rPr>
          <w:rFonts w:ascii="Arial" w:hAnsi="Arial" w:cs="Arial"/>
          <w:sz w:val="24"/>
          <w:szCs w:val="24"/>
        </w:rPr>
        <w:t>Il s’agit d’e</w:t>
      </w:r>
      <w:r w:rsidRPr="0068764A">
        <w:rPr>
          <w:rFonts w:ascii="Arial" w:hAnsi="Arial" w:cs="Arial"/>
          <w:sz w:val="24"/>
          <w:szCs w:val="24"/>
        </w:rPr>
        <w:t xml:space="preserve">ntretiens et dialogues qui font une représentation et </w:t>
      </w:r>
      <w:r>
        <w:rPr>
          <w:rFonts w:ascii="Arial" w:hAnsi="Arial" w:cs="Arial"/>
          <w:sz w:val="24"/>
          <w:szCs w:val="24"/>
        </w:rPr>
        <w:t xml:space="preserve">un </w:t>
      </w:r>
      <w:r w:rsidRPr="0068764A">
        <w:rPr>
          <w:rFonts w:ascii="Arial" w:hAnsi="Arial" w:cs="Arial"/>
          <w:sz w:val="24"/>
          <w:szCs w:val="24"/>
        </w:rPr>
        <w:t>assemblage de foi, de pensées basées sur la théologie chrétienne</w:t>
      </w:r>
      <w:r>
        <w:rPr>
          <w:rFonts w:ascii="Arial" w:hAnsi="Arial" w:cs="Arial"/>
          <w:sz w:val="24"/>
          <w:szCs w:val="24"/>
        </w:rPr>
        <w:t xml:space="preserve"> pour :</w:t>
      </w:r>
    </w:p>
    <w:p w14:paraId="3BAC4636" w14:textId="085DF13B" w:rsidR="001F3A94" w:rsidRPr="001F3A94" w:rsidRDefault="001F3A94" w:rsidP="001F3A94">
      <w:pPr>
        <w:pStyle w:val="Paragraphedeliste"/>
        <w:numPr>
          <w:ilvl w:val="0"/>
          <w:numId w:val="1"/>
        </w:numPr>
        <w:spacing w:after="0"/>
        <w:jc w:val="both"/>
        <w:rPr>
          <w:rFonts w:ascii="Arial" w:hAnsi="Arial" w:cs="Arial"/>
          <w:sz w:val="24"/>
          <w:szCs w:val="24"/>
        </w:rPr>
      </w:pPr>
      <w:r>
        <w:rPr>
          <w:rFonts w:ascii="Arial" w:hAnsi="Arial" w:cs="Arial"/>
          <w:sz w:val="24"/>
          <w:szCs w:val="24"/>
        </w:rPr>
        <w:t>D</w:t>
      </w:r>
      <w:r w:rsidRPr="001F3A94">
        <w:rPr>
          <w:rFonts w:ascii="Arial" w:hAnsi="Arial" w:cs="Arial"/>
          <w:sz w:val="24"/>
          <w:szCs w:val="24"/>
        </w:rPr>
        <w:t>onner de véritables perspectives et fondement sur le changement d’attitude et de comportement qui nous attendent ;</w:t>
      </w:r>
    </w:p>
    <w:p w14:paraId="5B0E5B09" w14:textId="2EFFBF4D" w:rsidR="001F3A94" w:rsidRPr="001F3A94" w:rsidRDefault="001F3A94" w:rsidP="001F3A94">
      <w:pPr>
        <w:pStyle w:val="Paragraphedeliste"/>
        <w:numPr>
          <w:ilvl w:val="0"/>
          <w:numId w:val="1"/>
        </w:numPr>
        <w:spacing w:after="0"/>
        <w:jc w:val="both"/>
        <w:rPr>
          <w:rFonts w:ascii="Arial" w:hAnsi="Arial" w:cs="Arial"/>
          <w:sz w:val="24"/>
          <w:szCs w:val="24"/>
        </w:rPr>
      </w:pPr>
      <w:r>
        <w:rPr>
          <w:rFonts w:ascii="Arial" w:hAnsi="Arial" w:cs="Arial"/>
          <w:sz w:val="24"/>
          <w:szCs w:val="24"/>
        </w:rPr>
        <w:t>D</w:t>
      </w:r>
      <w:r w:rsidRPr="001F3A94">
        <w:rPr>
          <w:rFonts w:ascii="Arial" w:hAnsi="Arial" w:cs="Arial"/>
          <w:sz w:val="24"/>
          <w:szCs w:val="24"/>
        </w:rPr>
        <w:t>onner du sens à la transition écologique ;</w:t>
      </w:r>
    </w:p>
    <w:p w14:paraId="3ADD20E1" w14:textId="4EF893F1" w:rsidR="001F3A94" w:rsidRPr="001F3A94" w:rsidRDefault="001F3A94" w:rsidP="001F3A94">
      <w:pPr>
        <w:pStyle w:val="Paragraphedeliste"/>
        <w:numPr>
          <w:ilvl w:val="0"/>
          <w:numId w:val="1"/>
        </w:numPr>
        <w:spacing w:after="0"/>
        <w:jc w:val="both"/>
        <w:rPr>
          <w:rFonts w:ascii="Arial" w:hAnsi="Arial" w:cs="Arial"/>
          <w:sz w:val="24"/>
          <w:szCs w:val="24"/>
        </w:rPr>
      </w:pPr>
      <w:r>
        <w:rPr>
          <w:rFonts w:ascii="Arial" w:hAnsi="Arial" w:cs="Arial"/>
          <w:sz w:val="24"/>
          <w:szCs w:val="24"/>
        </w:rPr>
        <w:t>B</w:t>
      </w:r>
      <w:r w:rsidRPr="001F3A94">
        <w:rPr>
          <w:rFonts w:ascii="Arial" w:hAnsi="Arial" w:cs="Arial"/>
          <w:sz w:val="24"/>
          <w:szCs w:val="24"/>
        </w:rPr>
        <w:t>ien comprendre les enjeux et toute la signification au terme « dominer la terre » dans le sens d’en prendre véritablement soin, d’en être les garants dans une gestion saine qui profite à tous les êtres vivants, sans déséquilibre</w:t>
      </w:r>
      <w:r w:rsidRPr="001F3A94">
        <w:rPr>
          <w:rFonts w:ascii="Arial" w:hAnsi="Arial" w:cs="Arial"/>
          <w:sz w:val="24"/>
          <w:szCs w:val="24"/>
        </w:rPr>
        <w:t>,</w:t>
      </w:r>
      <w:r w:rsidRPr="001F3A94">
        <w:rPr>
          <w:rFonts w:ascii="Arial" w:hAnsi="Arial" w:cs="Arial"/>
          <w:sz w:val="24"/>
          <w:szCs w:val="24"/>
        </w:rPr>
        <w:t xml:space="preserve"> ni accaparement</w:t>
      </w:r>
      <w:r w:rsidRPr="001F3A94">
        <w:rPr>
          <w:rFonts w:ascii="Arial" w:hAnsi="Arial" w:cs="Arial"/>
          <w:sz w:val="24"/>
          <w:szCs w:val="24"/>
        </w:rPr>
        <w:t>, ni domination</w:t>
      </w:r>
      <w:r w:rsidRPr="001F3A94">
        <w:rPr>
          <w:rFonts w:ascii="Arial" w:hAnsi="Arial" w:cs="Arial"/>
          <w:sz w:val="24"/>
          <w:szCs w:val="24"/>
        </w:rPr>
        <w:t xml:space="preserve">. </w:t>
      </w:r>
    </w:p>
    <w:p w14:paraId="50C744CE" w14:textId="73B63A65" w:rsidR="001F3A94" w:rsidRPr="001F3A94" w:rsidRDefault="001F3A94" w:rsidP="001F3A94">
      <w:pPr>
        <w:pStyle w:val="Paragraphedeliste"/>
        <w:numPr>
          <w:ilvl w:val="0"/>
          <w:numId w:val="1"/>
        </w:numPr>
        <w:spacing w:after="0"/>
        <w:jc w:val="both"/>
        <w:rPr>
          <w:rFonts w:ascii="Arial" w:hAnsi="Arial" w:cs="Arial"/>
          <w:sz w:val="24"/>
          <w:szCs w:val="24"/>
        </w:rPr>
      </w:pPr>
      <w:r>
        <w:rPr>
          <w:rFonts w:ascii="Arial" w:hAnsi="Arial" w:cs="Arial"/>
          <w:sz w:val="24"/>
          <w:szCs w:val="24"/>
        </w:rPr>
        <w:t>P</w:t>
      </w:r>
      <w:r w:rsidRPr="001F3A94">
        <w:rPr>
          <w:rFonts w:ascii="Arial" w:hAnsi="Arial" w:cs="Arial"/>
          <w:sz w:val="24"/>
          <w:szCs w:val="24"/>
        </w:rPr>
        <w:t>rendre aussi modèle sur la Nature, qui est un véritable cercle vertueux dans toute la chaine, sans création de déchet qui serait inutilisable par un autre être vivant de la chaîne d’existence.</w:t>
      </w:r>
    </w:p>
    <w:p w14:paraId="1F7545E6" w14:textId="2E0594A2" w:rsidR="0068764A" w:rsidRPr="0068764A" w:rsidRDefault="00802681" w:rsidP="00802681">
      <w:pPr>
        <w:spacing w:after="0"/>
        <w:jc w:val="both"/>
        <w:rPr>
          <w:rFonts w:ascii="Arial" w:hAnsi="Arial" w:cs="Arial"/>
          <w:sz w:val="24"/>
          <w:szCs w:val="24"/>
        </w:rPr>
      </w:pPr>
      <w:r>
        <w:rPr>
          <w:rFonts w:ascii="Arial" w:hAnsi="Arial" w:cs="Arial"/>
          <w:sz w:val="24"/>
          <w:szCs w:val="24"/>
        </w:rPr>
        <w:t>Cela</w:t>
      </w:r>
      <w:r w:rsidR="0068764A" w:rsidRPr="0068764A">
        <w:rPr>
          <w:rFonts w:ascii="Arial" w:hAnsi="Arial" w:cs="Arial"/>
          <w:sz w:val="24"/>
          <w:szCs w:val="24"/>
        </w:rPr>
        <w:t xml:space="preserve"> a permis de </w:t>
      </w:r>
      <w:r>
        <w:rPr>
          <w:rFonts w:ascii="Arial" w:hAnsi="Arial" w:cs="Arial"/>
          <w:sz w:val="24"/>
          <w:szCs w:val="24"/>
        </w:rPr>
        <w:t>réunir</w:t>
      </w:r>
      <w:r w:rsidR="0068764A" w:rsidRPr="0068764A">
        <w:rPr>
          <w:rFonts w:ascii="Arial" w:hAnsi="Arial" w:cs="Arial"/>
          <w:sz w:val="24"/>
          <w:szCs w:val="24"/>
        </w:rPr>
        <w:t xml:space="preserve"> </w:t>
      </w:r>
      <w:r>
        <w:rPr>
          <w:rFonts w:ascii="Arial" w:hAnsi="Arial" w:cs="Arial"/>
          <w:sz w:val="24"/>
          <w:szCs w:val="24"/>
        </w:rPr>
        <w:t>entre vingt et quarante</w:t>
      </w:r>
      <w:r w:rsidR="0068764A" w:rsidRPr="0068764A">
        <w:rPr>
          <w:rFonts w:ascii="Arial" w:hAnsi="Arial" w:cs="Arial"/>
          <w:sz w:val="24"/>
          <w:szCs w:val="24"/>
        </w:rPr>
        <w:t xml:space="preserve"> paroissiens </w:t>
      </w:r>
      <w:r w:rsidR="00756DEA">
        <w:rPr>
          <w:rFonts w:ascii="Arial" w:hAnsi="Arial" w:cs="Arial"/>
          <w:sz w:val="24"/>
          <w:szCs w:val="24"/>
        </w:rPr>
        <w:t>(selon les épisodes)</w:t>
      </w:r>
      <w:r w:rsidR="00756DEA">
        <w:rPr>
          <w:rFonts w:ascii="Arial" w:hAnsi="Arial" w:cs="Arial"/>
          <w:sz w:val="24"/>
          <w:szCs w:val="24"/>
        </w:rPr>
        <w:t>, le deuxième jeudi de chaque mois</w:t>
      </w:r>
      <w:r w:rsidR="0068764A" w:rsidRPr="0068764A">
        <w:rPr>
          <w:rFonts w:ascii="Arial" w:hAnsi="Arial" w:cs="Arial"/>
          <w:sz w:val="24"/>
          <w:szCs w:val="24"/>
        </w:rPr>
        <w:t>.</w:t>
      </w:r>
    </w:p>
    <w:p w14:paraId="6B97AF85" w14:textId="4FD426FA" w:rsidR="00802681" w:rsidRDefault="00802681" w:rsidP="00802681">
      <w:pPr>
        <w:spacing w:after="0"/>
        <w:jc w:val="both"/>
        <w:rPr>
          <w:rFonts w:ascii="Arial" w:hAnsi="Arial" w:cs="Arial"/>
          <w:sz w:val="24"/>
          <w:szCs w:val="24"/>
        </w:rPr>
      </w:pPr>
      <w:r>
        <w:rPr>
          <w:rFonts w:ascii="Arial" w:hAnsi="Arial" w:cs="Arial"/>
          <w:sz w:val="24"/>
          <w:szCs w:val="24"/>
        </w:rPr>
        <w:t xml:space="preserve">La séance débutait par la prière d’ouverture de réunion d’Eglise Verte, d’une courte présentation d’un sujet sur l’écologie, ou la lecture de quelques paragraphes de </w:t>
      </w:r>
      <w:proofErr w:type="spellStart"/>
      <w:r>
        <w:rPr>
          <w:rFonts w:ascii="Arial" w:hAnsi="Arial" w:cs="Arial"/>
          <w:sz w:val="24"/>
          <w:szCs w:val="24"/>
        </w:rPr>
        <w:t>Laudato</w:t>
      </w:r>
      <w:proofErr w:type="spellEnd"/>
      <w:r>
        <w:rPr>
          <w:rFonts w:ascii="Arial" w:hAnsi="Arial" w:cs="Arial"/>
          <w:sz w:val="24"/>
          <w:szCs w:val="24"/>
        </w:rPr>
        <w:t xml:space="preserve"> Si’ ou </w:t>
      </w:r>
      <w:r w:rsidR="001F3A94">
        <w:rPr>
          <w:rFonts w:ascii="Arial" w:hAnsi="Arial" w:cs="Arial"/>
          <w:sz w:val="24"/>
          <w:szCs w:val="24"/>
        </w:rPr>
        <w:t xml:space="preserve">de </w:t>
      </w:r>
      <w:proofErr w:type="spellStart"/>
      <w:r>
        <w:rPr>
          <w:rFonts w:ascii="Arial" w:hAnsi="Arial" w:cs="Arial"/>
          <w:sz w:val="24"/>
          <w:szCs w:val="24"/>
        </w:rPr>
        <w:t>Laudate</w:t>
      </w:r>
      <w:proofErr w:type="spellEnd"/>
      <w:r>
        <w:rPr>
          <w:rFonts w:ascii="Arial" w:hAnsi="Arial" w:cs="Arial"/>
          <w:sz w:val="24"/>
          <w:szCs w:val="24"/>
        </w:rPr>
        <w:t xml:space="preserve"> Deum. Ensuite avait lieu le visionnage de l’épisode, suivi d’un temps de silence, puis chacun prenait la parole pour partager </w:t>
      </w:r>
      <w:r w:rsidRPr="0068764A">
        <w:rPr>
          <w:rFonts w:ascii="Arial" w:hAnsi="Arial" w:cs="Arial"/>
          <w:sz w:val="24"/>
          <w:szCs w:val="24"/>
        </w:rPr>
        <w:t xml:space="preserve">sur </w:t>
      </w:r>
      <w:r>
        <w:rPr>
          <w:rFonts w:ascii="Arial" w:hAnsi="Arial" w:cs="Arial"/>
          <w:sz w:val="24"/>
          <w:szCs w:val="24"/>
        </w:rPr>
        <w:t>d</w:t>
      </w:r>
      <w:r w:rsidRPr="0068764A">
        <w:rPr>
          <w:rFonts w:ascii="Arial" w:hAnsi="Arial" w:cs="Arial"/>
          <w:sz w:val="24"/>
          <w:szCs w:val="24"/>
        </w:rPr>
        <w:t xml:space="preserve">es interrogations, </w:t>
      </w:r>
      <w:r>
        <w:rPr>
          <w:rFonts w:ascii="Arial" w:hAnsi="Arial" w:cs="Arial"/>
          <w:sz w:val="24"/>
          <w:szCs w:val="24"/>
        </w:rPr>
        <w:t>des incompréhension</w:t>
      </w:r>
      <w:r w:rsidR="001F3A94">
        <w:rPr>
          <w:rFonts w:ascii="Arial" w:hAnsi="Arial" w:cs="Arial"/>
          <w:sz w:val="24"/>
          <w:szCs w:val="24"/>
        </w:rPr>
        <w:t>s</w:t>
      </w:r>
      <w:r>
        <w:rPr>
          <w:rFonts w:ascii="Arial" w:hAnsi="Arial" w:cs="Arial"/>
          <w:sz w:val="24"/>
          <w:szCs w:val="24"/>
        </w:rPr>
        <w:t xml:space="preserve">, </w:t>
      </w:r>
      <w:r w:rsidRPr="0068764A">
        <w:rPr>
          <w:rFonts w:ascii="Arial" w:hAnsi="Arial" w:cs="Arial"/>
          <w:sz w:val="24"/>
          <w:szCs w:val="24"/>
        </w:rPr>
        <w:t>les phrases clés, celles qui font écho, celles qui nous paraissent importantes ou qui nous dérangent</w:t>
      </w:r>
      <w:r w:rsidR="001F3A94">
        <w:rPr>
          <w:rFonts w:ascii="Arial" w:hAnsi="Arial" w:cs="Arial"/>
          <w:sz w:val="24"/>
          <w:szCs w:val="24"/>
        </w:rPr>
        <w:t>,</w:t>
      </w:r>
      <w:r w:rsidRPr="0068764A">
        <w:rPr>
          <w:rFonts w:ascii="Arial" w:hAnsi="Arial" w:cs="Arial"/>
          <w:sz w:val="24"/>
          <w:szCs w:val="24"/>
        </w:rPr>
        <w:t xml:space="preserve"> </w:t>
      </w:r>
      <w:r w:rsidR="00756DEA">
        <w:rPr>
          <w:rFonts w:ascii="Arial" w:hAnsi="Arial" w:cs="Arial"/>
          <w:sz w:val="24"/>
          <w:szCs w:val="24"/>
        </w:rPr>
        <w:t xml:space="preserve">nous </w:t>
      </w:r>
      <w:r w:rsidRPr="0068764A">
        <w:rPr>
          <w:rFonts w:ascii="Arial" w:hAnsi="Arial" w:cs="Arial"/>
          <w:sz w:val="24"/>
          <w:szCs w:val="24"/>
        </w:rPr>
        <w:t>déportent</w:t>
      </w:r>
      <w:r w:rsidR="00756DEA">
        <w:rPr>
          <w:rFonts w:ascii="Arial" w:hAnsi="Arial" w:cs="Arial"/>
          <w:sz w:val="24"/>
          <w:szCs w:val="24"/>
        </w:rPr>
        <w:t>. Nous terminions par la prière de clôture de réunion d’Eglise Verte, puis un chant sur la création.</w:t>
      </w:r>
    </w:p>
    <w:p w14:paraId="565D5104" w14:textId="256DD955" w:rsidR="00756DEA" w:rsidRDefault="00802681" w:rsidP="00802681">
      <w:pPr>
        <w:spacing w:after="0"/>
        <w:jc w:val="both"/>
        <w:rPr>
          <w:rFonts w:ascii="Arial" w:hAnsi="Arial" w:cs="Arial"/>
          <w:sz w:val="24"/>
          <w:szCs w:val="24"/>
        </w:rPr>
      </w:pPr>
      <w:r>
        <w:rPr>
          <w:rFonts w:ascii="Arial" w:hAnsi="Arial" w:cs="Arial"/>
          <w:sz w:val="24"/>
          <w:szCs w:val="24"/>
        </w:rPr>
        <w:t xml:space="preserve">Ces soirées ont </w:t>
      </w:r>
      <w:r w:rsidRPr="0068764A">
        <w:rPr>
          <w:rFonts w:ascii="Arial" w:hAnsi="Arial" w:cs="Arial"/>
          <w:sz w:val="24"/>
          <w:szCs w:val="24"/>
        </w:rPr>
        <w:t xml:space="preserve">permis </w:t>
      </w:r>
      <w:r w:rsidR="00756DEA">
        <w:rPr>
          <w:rFonts w:ascii="Arial" w:hAnsi="Arial" w:cs="Arial"/>
          <w:sz w:val="24"/>
          <w:szCs w:val="24"/>
        </w:rPr>
        <w:t>de vivre en communauté une approche spirituelle et philosophique de l’écologie, l’équipe Eglise Verte de la paroisse a constaté que de nouveaux liens sont nés entre paroissiens, et que certains qui étaient venus « pour voir » ont semblé démarrer une réelle conversion.</w:t>
      </w:r>
    </w:p>
    <w:p w14:paraId="1320F7C6" w14:textId="77777777" w:rsidR="00756DEA" w:rsidRDefault="00756DEA" w:rsidP="00802681">
      <w:pPr>
        <w:spacing w:after="0"/>
        <w:jc w:val="both"/>
        <w:rPr>
          <w:rFonts w:ascii="Arial" w:hAnsi="Arial" w:cs="Arial"/>
          <w:sz w:val="24"/>
          <w:szCs w:val="24"/>
        </w:rPr>
      </w:pPr>
    </w:p>
    <w:sectPr w:rsidR="00756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B1E95"/>
    <w:multiLevelType w:val="hybridMultilevel"/>
    <w:tmpl w:val="F6142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914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4A"/>
    <w:rsid w:val="001F3A94"/>
    <w:rsid w:val="00635FAB"/>
    <w:rsid w:val="0068764A"/>
    <w:rsid w:val="00756DEA"/>
    <w:rsid w:val="00802681"/>
    <w:rsid w:val="00CA0B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A2FD"/>
  <w15:chartTrackingRefBased/>
  <w15:docId w15:val="{DC0B1EDC-1E18-4FCB-9F9A-D8C9054C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F3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308</Words>
  <Characters>1697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Marseille Laudatosi</dc:creator>
  <cp:keywords/>
  <dc:description/>
  <cp:lastModifiedBy>Marseille Laudatosi</cp:lastModifiedBy>
  <cp:revision>1</cp:revision>
  <dcterms:created xsi:type="dcterms:W3CDTF">2024-02-26T13:22:00Z</dcterms:created>
  <dcterms:modified xsi:type="dcterms:W3CDTF">2024-02-26T14:01:00Z</dcterms:modified>
</cp:coreProperties>
</file>